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Yıllık İş Sağlığı ve Güvenliği Değerlendirme Raporu</w:t>
      </w:r>
    </w:p>
    <w:p>
      <w:r>
        <w:rPr>
          <w:color w:val="64748B"/>
          <w:sz w:val="21"/>
        </w:rPr>
        <w:t>Yıl sonu faaliyet değerlendirme ve takip şablonu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KDO-İSG-09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187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Başlık</w:t>
            </w:r>
          </w:p>
        </w:tc>
        <w:tc>
          <w:tcPr>
            <w:tcW w:type="dxa" w:w="351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Değerlendirme Ölçütü</w:t>
            </w:r>
          </w:p>
        </w:tc>
        <w:tc>
          <w:tcPr>
            <w:tcW w:type="dxa" w:w="209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Yıllık Sonuç</w:t>
            </w:r>
          </w:p>
        </w:tc>
        <w:tc>
          <w:tcPr>
            <w:tcW w:type="dxa" w:w="215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Gelecek Yıl Hedefi</w:t>
            </w:r>
          </w:p>
        </w:tc>
      </w:tr>
      <w:tr>
        <w:tc>
          <w:tcPr>
            <w:tcW w:type="dxa" w:w="187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Risk değerlendirmesi</w:t>
            </w:r>
          </w:p>
        </w:tc>
        <w:tc>
          <w:tcPr>
            <w:tcW w:type="dxa" w:w="351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Planlanan / tamamlanan aksiyon sayısı</w:t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15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87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İSG eğitimleri</w:t>
            </w:r>
          </w:p>
        </w:tc>
        <w:tc>
          <w:tcPr>
            <w:tcW w:type="dxa" w:w="351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Eğitim sayısı / katılım / sınav sonuçları</w:t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15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87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Sağlık gözetimi</w:t>
            </w:r>
          </w:p>
        </w:tc>
        <w:tc>
          <w:tcPr>
            <w:tcW w:type="dxa" w:w="351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Planlanan / tamamlanan muayeneler</w:t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15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87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Acil durum</w:t>
            </w:r>
          </w:p>
        </w:tc>
        <w:tc>
          <w:tcPr>
            <w:tcW w:type="dxa" w:w="351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Tatbikat ve ekip eğitimleri</w:t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15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87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İş kazaları</w:t>
            </w:r>
          </w:p>
        </w:tc>
        <w:tc>
          <w:tcPr>
            <w:tcW w:type="dxa" w:w="351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Kaza sayısı / gün kaybı / kök neden faaliyetleri</w:t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15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87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Ramak kala</w:t>
            </w:r>
          </w:p>
        </w:tc>
        <w:tc>
          <w:tcPr>
            <w:tcW w:type="dxa" w:w="351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Bildirilen olay ve kapanan faaliyet</w:t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15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87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Periyodik kontroller</w:t>
            </w:r>
          </w:p>
        </w:tc>
        <w:tc>
          <w:tcPr>
            <w:tcW w:type="dxa" w:w="351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Planlanan / tamamlanan ekipman kontrolleri</w:t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15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87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İş hijyeni ölçümleri</w:t>
            </w:r>
          </w:p>
        </w:tc>
        <w:tc>
          <w:tcPr>
            <w:tcW w:type="dxa" w:w="351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Planlanan / tamamlanan ölçümler</w:t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15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87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Saha denetimleri</w:t>
            </w:r>
          </w:p>
        </w:tc>
        <w:tc>
          <w:tcPr>
            <w:tcW w:type="dxa" w:w="351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Denetim sayısı / uygunsuzluk / kapanış</w:t>
            </w:r>
          </w:p>
        </w:tc>
        <w:tc>
          <w:tcPr>
            <w:tcW w:type="dxa" w:w="209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15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Yönetim Değerlendirmesi</w:t>
      </w:r>
    </w:p>
    <w:p>
      <w:r>
        <w:t>Öne çıkan riskler, iyileştirmeler, kaynak ihtiyacı ve bir sonraki yıl öncelikleri:</w:t>
        <w:br/>
        <w:br/>
        <w:t>................................................................................................................................................................................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................................................................................................................................................................................</w:t>
      </w:r>
    </w:p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6331 sayılı Kanun ve işyerine uygulanabilir İSG mevzuatı</w:t>
      </w:r>
    </w:p>
    <w:p>
      <w:pPr>
        <w:pStyle w:val="ListBullet"/>
      </w:pPr>
      <w:r>
        <w:rPr>
          <w:sz w:val="17"/>
        </w:rPr>
        <w:t>İSG hizmetlerinin izlenmesi ve kayıt altına alınmasına ilişkin ilgili hükümler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