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Sağlık Gözetimi Takip Listesi</w:t>
      </w:r>
    </w:p>
    <w:p>
      <w:r>
        <w:rPr>
          <w:color w:val="64748B"/>
          <w:sz w:val="21"/>
        </w:rPr>
        <w:t>Muayene planlamasını takip etmek için idari liste; tıbbi tanı/veri içermez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Doküman Kodu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KDO-İSG-17</w:t>
            </w:r>
          </w:p>
        </w:tc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Revizyon Tarihi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28.08.2026</w:t>
            </w:r>
          </w:p>
        </w:tc>
      </w:tr>
      <w:tr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İşyeri / Firma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................................................................</w:t>
            </w:r>
          </w:p>
        </w:tc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Hazırlayan / Onaylayan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................................................................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82"/>
        <w:gridCol w:w="1682"/>
        <w:gridCol w:w="1682"/>
        <w:gridCol w:w="1682"/>
        <w:gridCol w:w="1682"/>
        <w:gridCol w:w="1682"/>
      </w:tblGrid>
      <w:tr>
        <w:trPr>
          <w:tblHeader w:val="true"/>
        </w:trPr>
        <w:tc>
          <w:tcPr>
            <w:tcW w:type="dxa" w:w="396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No</w:t>
            </w:r>
          </w:p>
        </w:tc>
        <w:tc>
          <w:tcPr>
            <w:tcW w:type="dxa" w:w="2551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Çalışan Adı Soyadı</w:t>
            </w:r>
          </w:p>
        </w:tc>
        <w:tc>
          <w:tcPr>
            <w:tcW w:type="dxa" w:w="2097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Görevi</w:t>
            </w:r>
          </w:p>
        </w:tc>
        <w:tc>
          <w:tcPr>
            <w:tcW w:type="dxa" w:w="1757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İşe Giriş Muayene Tarihi</w:t>
            </w:r>
          </w:p>
        </w:tc>
        <w:tc>
          <w:tcPr>
            <w:tcW w:type="dxa" w:w="1757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Son Periyodik Muayene</w:t>
            </w:r>
          </w:p>
        </w:tc>
        <w:tc>
          <w:tcPr>
            <w:tcW w:type="dxa" w:w="1757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Bir Sonraki Planlı Tarih</w:t>
            </w:r>
          </w:p>
        </w:tc>
      </w:tr>
      <w:tr>
        <w:tc>
          <w:tcPr>
            <w:tcW w:type="dxa" w:w="396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1</w:t>
            </w:r>
          </w:p>
        </w:tc>
        <w:tc>
          <w:tcPr>
            <w:tcW w:type="dxa" w:w="255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209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</w:tr>
      <w:tr>
        <w:tc>
          <w:tcPr>
            <w:tcW w:type="dxa" w:w="396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2</w:t>
            </w:r>
          </w:p>
        </w:tc>
        <w:tc>
          <w:tcPr>
            <w:tcW w:type="dxa" w:w="255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209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</w:tr>
      <w:tr>
        <w:tc>
          <w:tcPr>
            <w:tcW w:type="dxa" w:w="396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3</w:t>
            </w:r>
          </w:p>
        </w:tc>
        <w:tc>
          <w:tcPr>
            <w:tcW w:type="dxa" w:w="255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209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</w:tr>
      <w:tr>
        <w:tc>
          <w:tcPr>
            <w:tcW w:type="dxa" w:w="396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4</w:t>
            </w:r>
          </w:p>
        </w:tc>
        <w:tc>
          <w:tcPr>
            <w:tcW w:type="dxa" w:w="255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209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</w:tr>
      <w:tr>
        <w:tc>
          <w:tcPr>
            <w:tcW w:type="dxa" w:w="396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5</w:t>
            </w:r>
          </w:p>
        </w:tc>
        <w:tc>
          <w:tcPr>
            <w:tcW w:type="dxa" w:w="255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209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</w:tr>
      <w:tr>
        <w:tc>
          <w:tcPr>
            <w:tcW w:type="dxa" w:w="396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6</w:t>
            </w:r>
          </w:p>
        </w:tc>
        <w:tc>
          <w:tcPr>
            <w:tcW w:type="dxa" w:w="255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209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</w:tr>
      <w:tr>
        <w:tc>
          <w:tcPr>
            <w:tcW w:type="dxa" w:w="396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7</w:t>
            </w:r>
          </w:p>
        </w:tc>
        <w:tc>
          <w:tcPr>
            <w:tcW w:type="dxa" w:w="255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209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</w:tr>
      <w:tr>
        <w:tc>
          <w:tcPr>
            <w:tcW w:type="dxa" w:w="396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8</w:t>
            </w:r>
          </w:p>
        </w:tc>
        <w:tc>
          <w:tcPr>
            <w:tcW w:type="dxa" w:w="255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209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</w:tr>
      <w:tr>
        <w:tc>
          <w:tcPr>
            <w:tcW w:type="dxa" w:w="396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9</w:t>
            </w:r>
          </w:p>
        </w:tc>
        <w:tc>
          <w:tcPr>
            <w:tcW w:type="dxa" w:w="255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209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</w:tr>
      <w:tr>
        <w:tc>
          <w:tcPr>
            <w:tcW w:type="dxa" w:w="396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10</w:t>
            </w:r>
          </w:p>
        </w:tc>
        <w:tc>
          <w:tcPr>
            <w:tcW w:type="dxa" w:w="255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209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</w:tr>
      <w:tr>
        <w:tc>
          <w:tcPr>
            <w:tcW w:type="dxa" w:w="396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11</w:t>
            </w:r>
          </w:p>
        </w:tc>
        <w:tc>
          <w:tcPr>
            <w:tcW w:type="dxa" w:w="255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209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</w:tr>
      <w:tr>
        <w:tc>
          <w:tcPr>
            <w:tcW w:type="dxa" w:w="396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12</w:t>
            </w:r>
          </w:p>
        </w:tc>
        <w:tc>
          <w:tcPr>
            <w:tcW w:type="dxa" w:w="255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209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  <w:tcMar>
              <w:top w:w="120" w:type="dxa"/>
              <w:start w:w="140" w:type="dxa"/>
              <w:bottom w:w="120" w:type="dxa"/>
              <w:end w:w="140" w:type="dxa"/>
            </w:tcMar>
            <w:shd w:fill="FFF7E6"/>
          </w:tcPr>
          <w:p>
            <w:r>
              <w:rPr>
                <w:color w:val="334155"/>
                <w:sz w:val="17"/>
              </w:rPr>
              <w:t>Bu liste yalnız planlama/takip amaçlıdır. Sağlık verileri ve muayene sonuçları, yetkili işyeri hekimi tarafından mevzuata ve kişisel veri gizliliğine uygun şekilde ayrı sağlık kayıtlarında tutulmalıdır.</w:t>
            </w:r>
          </w:p>
        </w:tc>
      </w:tr>
    </w:tbl>
    <w:p>
      <w:pPr>
        <w:pStyle w:val="Heading2"/>
      </w:pPr>
      <w:r>
        <w:t>Mevzuat Dayanağı</w:t>
      </w:r>
    </w:p>
    <w:p>
      <w:pPr>
        <w:pStyle w:val="ListBullet"/>
      </w:pPr>
      <w:r>
        <w:rPr>
          <w:sz w:val="17"/>
        </w:rPr>
        <w:t>6331 sayılı Kanun md. 15</w:t>
      </w:r>
    </w:p>
    <w:p>
      <w:pPr>
        <w:pStyle w:val="ListBullet"/>
      </w:pPr>
      <w:r>
        <w:rPr>
          <w:sz w:val="17"/>
        </w:rPr>
        <w:t>İşyeri Hekimi ve Diğer Sağlık Personelinin Görev, Yetki, Sorumluluk ve Eğitimleri Hakkında Yönetmelik</w:t>
      </w:r>
    </w:p>
    <w:p>
      <w:pPr>
        <w:pStyle w:val="ListBullet"/>
      </w:pPr>
      <w:r>
        <w:rPr>
          <w:sz w:val="17"/>
        </w:rPr>
        <w:t>Kişisel sağlık verilerinin gizliliğine ilişkin yürürlükteki mevzuat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  <w:tcMar>
              <w:top w:w="120" w:type="dxa"/>
              <w:start w:w="140" w:type="dxa"/>
              <w:bottom w:w="120" w:type="dxa"/>
              <w:end w:w="140" w:type="dxa"/>
            </w:tcMar>
            <w:shd w:fill="FFF7E6"/>
          </w:tcPr>
          <w:p>
            <w:r>
              <w:rPr>
                <w:color w:val="334155"/>
                <w:sz w:val="17"/>
              </w:rPr>
              <w:t>Not: Mevzuat ve işyeri koşulları zaman içinde değişebilir. Belge kullanılmadan önce işyerinin güncel koşulları ve yürürlükteki mevzuat doğrulanmalıdır.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79" w:right="907" w:bottom="822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67085"/>
        <w:sz w:val="14"/>
      </w:rPr>
      <w:t>Konya Dinamik Ortak Sağlık Güvenlik Birimi  |  +90 (332) 255 3317 / +90 533 450 33 94  |  info@konyadinamik.com.tr  |  Rev. 28.08.2026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6123"/>
      <w:gridCol w:w="3969"/>
    </w:tblGrid>
    <w:tr>
      <w:tc>
        <w:tcPr>
          <w:tcW w:type="dxa" w:w="5046"/>
        </w:tcPr>
        <w:p>
          <w:pPr>
            <w:jc w:val="left"/>
          </w:pPr>
          <w:r>
            <w:rPr>
              <w:rFonts w:ascii="Arial" w:hAnsi="Arial"/>
              <w:b/>
              <w:color w:val="334155"/>
              <w:sz w:val="18"/>
            </w:rPr>
            <w:t>Konya Dinamik Ortak Sağlık Güvenlik Birimi</w:t>
          </w:r>
          <w:r>
            <w:rPr>
              <w:sz w:val="15"/>
            </w:rPr>
            <w:br/>
            <w:t>www.konyadinamik.com.tr</w:t>
          </w:r>
        </w:p>
      </w:tc>
      <w:tc>
        <w:tcPr>
          <w:tcW w:type="dxa" w:w="5046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512000" cy="3024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2000" cy="3024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78B8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334155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78B8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