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İSG Saha / İşyeri Denetim Formu</w:t>
      </w:r>
    </w:p>
    <w:p>
      <w:r>
        <w:rPr>
          <w:color w:val="64748B"/>
          <w:sz w:val="21"/>
        </w:rPr>
        <w:t>Genel saha kontrolleri ve aksiyon takibi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KDO-İSG-15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453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type="dxa" w:w="4649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Kontrol Konusu</w:t>
            </w:r>
          </w:p>
        </w:tc>
        <w:tc>
          <w:tcPr>
            <w:tcW w:type="dxa" w:w="793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Uygun</w:t>
            </w:r>
          </w:p>
        </w:tc>
        <w:tc>
          <w:tcPr>
            <w:tcW w:type="dxa" w:w="963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Uygunsuz</w:t>
            </w:r>
          </w:p>
        </w:tc>
        <w:tc>
          <w:tcPr>
            <w:tcW w:type="dxa" w:w="107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Uygulanmaz</w:t>
            </w:r>
          </w:p>
        </w:tc>
        <w:tc>
          <w:tcPr>
            <w:tcW w:type="dxa" w:w="255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Açıklama / Aksiyon</w:t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1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Acil çıkış ve kaçış yolları açık/işaretli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2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Yangın söndürme ekipmanlarına erişim uygun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3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Elektrik panoları kapalı, erişim ve uyarılar uygun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4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Makine koruyucuları ve acil durdurmalar uygun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5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Yaya yolları ve araç yolları düzenli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6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İstif ve raf güvenliği uygun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7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Kimyasallar etiketli ve uygun depolanmış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8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KKD kullanımı işe uygun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9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İlk yardım malzemeleri ve acil iletişim bilgileri uygun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10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Genel düzen, temizlik ve aydınlatma uygun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11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Periyodik kontrol etiketi/raporu gereken ekipmanlar güncel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  <w:tr>
        <w:tc>
          <w:tcPr>
            <w:tcW w:type="dxa" w:w="45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12</w:t>
            </w:r>
          </w:p>
        </w:tc>
        <w:tc>
          <w:tcPr>
            <w:tcW w:type="dxa" w:w="464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Çalışanların güvenli çalışma talimatlarına uyumu uygun</w:t>
            </w:r>
          </w:p>
        </w:tc>
        <w:tc>
          <w:tcPr>
            <w:tcW w:type="dxa" w:w="79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963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107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  <w:t>☐</w:t>
            </w:r>
          </w:p>
        </w:tc>
        <w:tc>
          <w:tcPr>
            <w:tcW w:type="dxa" w:w="255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5"/>
              </w:rPr>
            </w:r>
          </w:p>
        </w:tc>
      </w:tr>
    </w:tbl>
    <w:p>
      <w:pPr>
        <w:pStyle w:val="Heading2"/>
      </w:pPr>
      <w:r>
        <w:t>Aksiyon Takibi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56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type="dxa" w:w="368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Uygunsuzluk</w:t>
            </w:r>
          </w:p>
        </w:tc>
        <w:tc>
          <w:tcPr>
            <w:tcW w:type="dxa" w:w="198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Sorumlu</w:t>
            </w:r>
          </w:p>
        </w:tc>
        <w:tc>
          <w:tcPr>
            <w:tcW w:type="dxa" w:w="170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Termin</w:t>
            </w:r>
          </w:p>
        </w:tc>
        <w:tc>
          <w:tcPr>
            <w:tcW w:type="dxa" w:w="170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Kapanış Tarihi</w:t>
            </w:r>
          </w:p>
        </w:tc>
      </w:tr>
      <w:tr>
        <w:tc>
          <w:tcPr>
            <w:tcW w:type="dxa" w:w="56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368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98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56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368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98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56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368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98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6331 sayılı Kanun md. 4 ve 5</w:t>
      </w:r>
    </w:p>
    <w:p>
      <w:pPr>
        <w:pStyle w:val="ListBullet"/>
      </w:pPr>
      <w:r>
        <w:rPr>
          <w:sz w:val="17"/>
        </w:rPr>
        <w:t>İşyerine uygulanabilir özel yönetmelikler ve risk değerlendirmesi sonuçları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