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İş Kazası / Ramak Kala Kök Neden Analizi Formu</w:t>
      </w:r>
    </w:p>
    <w:p>
      <w:r>
        <w:rPr>
          <w:color w:val="64748B"/>
          <w:sz w:val="21"/>
        </w:rPr>
        <w:t>Olay inceleme, kök neden ve düzeltici faaliyet takibi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Doküman Kodu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KDO-İSG-13</w:t>
            </w:r>
          </w:p>
        </w:tc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Revizyon Tarihi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28.08.2026</w:t>
            </w:r>
          </w:p>
        </w:tc>
      </w:tr>
      <w:tr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İşyeri / Firma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................................................................</w:t>
            </w:r>
          </w:p>
        </w:tc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Hazırlayan / Onaylayan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................................................................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2551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Olay Türü</w:t>
            </w:r>
          </w:p>
        </w:tc>
        <w:tc>
          <w:tcPr>
            <w:tcW w:type="dxa" w:w="2268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Tarih / Saat</w:t>
            </w:r>
          </w:p>
        </w:tc>
        <w:tc>
          <w:tcPr>
            <w:tcW w:type="dxa" w:w="2438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Yer / Bölüm</w:t>
            </w:r>
          </w:p>
        </w:tc>
        <w:tc>
          <w:tcPr>
            <w:tcW w:type="dxa" w:w="2381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Bildirimi Yapan</w:t>
            </w:r>
          </w:p>
        </w:tc>
      </w:tr>
      <w:tr>
        <w:tc>
          <w:tcPr>
            <w:tcW w:type="dxa" w:w="255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☐ İş Kazası  ☐ Ramak Kala  ☐ Tehlikeli Durum</w:t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43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38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</w:tbl>
    <w:p>
      <w:pPr>
        <w:pStyle w:val="Heading2"/>
      </w:pPr>
      <w:r>
        <w:t>Olayın Kısa Tanımı</w:t>
      </w:r>
    </w:p>
    <w:p>
      <w:r>
        <w:t>................................................................................................................................................................................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................................................................................................................................................................................</w:t>
      </w:r>
    </w:p>
    <w:p>
      <w:pPr>
        <w:pStyle w:val="Heading2"/>
      </w:pPr>
      <w:r>
        <w:t>Olay Sırası / Zaman Çizelgesi</w:t>
      </w:r>
    </w:p>
    <w:p>
      <w:r>
        <w:t>................................................................................................................................................................................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................................................................................................................................................................................</w:t>
      </w:r>
    </w:p>
    <w:p>
      <w:pPr>
        <w:pStyle w:val="Heading2"/>
      </w:pPr>
      <w:r>
        <w:t>Doğrudan Nedenler</w:t>
      </w:r>
    </w:p>
    <w:p>
      <w:r>
        <w:t>................................................................................................................................................................................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................................................................................................................................................................................</w:t>
      </w:r>
    </w:p>
    <w:p>
      <w:pPr>
        <w:pStyle w:val="Heading2"/>
      </w:pPr>
      <w:r>
        <w:t>Katkıda Bulunan Faktörler</w:t>
      </w:r>
    </w:p>
    <w:p>
      <w:r>
        <w:t>................................................................................................................................................................................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................................................................................................................................................................................</w:t>
      </w:r>
    </w:p>
    <w:p>
      <w:pPr>
        <w:pStyle w:val="Heading2"/>
      </w:pPr>
      <w:r>
        <w:t>Kök Nedenler</w:t>
      </w:r>
    </w:p>
    <w:p>
      <w:r>
        <w:t>................................................................................................................................................................................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................................................................................................................................................................................</w:t>
      </w:r>
    </w:p>
    <w:p>
      <w:pPr>
        <w:pStyle w:val="Heading2"/>
      </w:pPr>
      <w:r>
        <w:t>Düzeltici / Önleyici Faaliyet Planı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82"/>
        <w:gridCol w:w="1682"/>
        <w:gridCol w:w="1682"/>
        <w:gridCol w:w="1682"/>
        <w:gridCol w:w="1682"/>
        <w:gridCol w:w="1682"/>
      </w:tblGrid>
      <w:tr>
        <w:trPr>
          <w:tblHeader w:val="true"/>
        </w:trPr>
        <w:tc>
          <w:tcPr>
            <w:tcW w:type="dxa" w:w="453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No</w:t>
            </w:r>
          </w:p>
        </w:tc>
        <w:tc>
          <w:tcPr>
            <w:tcW w:type="dxa" w:w="3458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Faaliyet</w:t>
            </w:r>
          </w:p>
        </w:tc>
        <w:tc>
          <w:tcPr>
            <w:tcW w:type="dxa" w:w="1701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Sorumlu</w:t>
            </w:r>
          </w:p>
        </w:tc>
        <w:tc>
          <w:tcPr>
            <w:tcW w:type="dxa" w:w="1360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Termin</w:t>
            </w:r>
          </w:p>
        </w:tc>
        <w:tc>
          <w:tcPr>
            <w:tcW w:type="dxa" w:w="1814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Kapanış Kanıtı</w:t>
            </w:r>
          </w:p>
        </w:tc>
        <w:tc>
          <w:tcPr>
            <w:tcW w:type="dxa" w:w="850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Durum</w:t>
            </w:r>
          </w:p>
        </w:tc>
      </w:tr>
      <w:tr>
        <w:tc>
          <w:tcPr>
            <w:tcW w:type="dxa" w:w="45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345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70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36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85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345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70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36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85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345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70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36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85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tcMar>
              <w:top w:w="120" w:type="dxa"/>
              <w:start w:w="140" w:type="dxa"/>
              <w:bottom w:w="120" w:type="dxa"/>
              <w:end w:w="140" w:type="dxa"/>
            </w:tcMar>
            <w:shd w:fill="FFF7E6"/>
          </w:tcPr>
          <w:p>
            <w:r>
              <w:rPr>
                <w:color w:val="334155"/>
                <w:sz w:val="17"/>
              </w:rPr>
              <w:t>Bu form SGK bildirim yükümlülüğünün yerine geçmez. İş kazası bildirim süreleri ve resmi süreçler ayrıca takip edilmelidir.</w:t>
            </w:r>
          </w:p>
        </w:tc>
      </w:tr>
    </w:tbl>
    <w:p>
      <w:pPr>
        <w:pStyle w:val="Heading2"/>
      </w:pPr>
      <w:r>
        <w:t>Mevzuat Dayanağı</w:t>
      </w:r>
    </w:p>
    <w:p>
      <w:pPr>
        <w:pStyle w:val="ListBullet"/>
      </w:pPr>
      <w:r>
        <w:rPr>
          <w:sz w:val="17"/>
        </w:rPr>
        <w:t>6331 sayılı Kanun md. 14 ve ilgili iş kazası/meslek hastalığı kayıt-bildirim hükümleri</w:t>
      </w:r>
    </w:p>
    <w:p>
      <w:pPr>
        <w:pStyle w:val="ListBullet"/>
      </w:pPr>
      <w:r>
        <w:rPr>
          <w:sz w:val="17"/>
        </w:rPr>
        <w:t>Risk değerlendirmesinin olay sonrası gözden geçirilmesine ilişkin hükümler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tcMar>
              <w:top w:w="120" w:type="dxa"/>
              <w:start w:w="140" w:type="dxa"/>
              <w:bottom w:w="120" w:type="dxa"/>
              <w:end w:w="140" w:type="dxa"/>
            </w:tcMar>
            <w:shd w:fill="FFF7E6"/>
          </w:tcPr>
          <w:p>
            <w:r>
              <w:rPr>
                <w:color w:val="334155"/>
                <w:sz w:val="17"/>
              </w:rPr>
              <w:t>Not: Mevzuat ve işyeri koşulları zaman içinde değişebilir. Belge kullanılmadan önce işyerinin güncel koşulları ve yürürlükteki mevzuat doğrulanmalıdır.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79" w:right="907" w:bottom="822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67085"/>
        <w:sz w:val="14"/>
      </w:rPr>
      <w:t>Konya Dinamik Ortak Sağlık Güvenlik Birimi  |  +90 (332) 255 3317 / +90 533 450 33 94  |  info@konyadinamik.com.tr  |  Rev. 28.08.2026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6123"/>
      <w:gridCol w:w="3969"/>
    </w:tblGrid>
    <w:tr>
      <w:tc>
        <w:tcPr>
          <w:tcW w:type="dxa" w:w="5046"/>
        </w:tcPr>
        <w:p>
          <w:pPr>
            <w:jc w:val="left"/>
          </w:pPr>
          <w:r>
            <w:rPr>
              <w:rFonts w:ascii="Arial" w:hAnsi="Arial"/>
              <w:b/>
              <w:color w:val="334155"/>
              <w:sz w:val="18"/>
            </w:rPr>
            <w:t>Konya Dinamik Ortak Sağlık Güvenlik Birimi</w:t>
          </w:r>
          <w:r>
            <w:rPr>
              <w:sz w:val="15"/>
            </w:rPr>
            <w:br/>
            <w:t>www.konyadinamik.com.tr</w:t>
          </w:r>
        </w:p>
      </w:tc>
      <w:tc>
        <w:tcPr>
          <w:tcW w:type="dxa" w:w="5046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512000" cy="30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2000" cy="30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78B8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334155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78B8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