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Az Tehlikeli İşyerleri İçin İSG Yol Haritası</w:t>
      </w:r>
    </w:p>
    <w:p>
      <w:r>
        <w:rPr>
          <w:color w:val="64748B"/>
          <w:sz w:val="21"/>
        </w:rPr>
        <w:t>50’den az çalışanı bulunan az tehlikeli işyerleri için uygulama kontrol rehberi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KDO-İSG-01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EEF7EA"/>
          </w:tcPr>
          <w:p>
            <w:r>
              <w:rPr>
                <w:color w:val="334155"/>
                <w:sz w:val="17"/>
              </w:rPr>
              <w:t>Bu doküman, işveren/işveren vekiline yol göstermek amacıyla hazırlanmıştır. Sağlık gözetimi işyeri hekimi tarafından yürütülür; mevzuatta öngörülen eğitim/şartlar ayrıca sağlanmalıdır.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68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Adım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Konu</w:t>
            </w:r>
          </w:p>
        </w:tc>
        <w:tc>
          <w:tcPr>
            <w:tcW w:type="dxa" w:w="669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Yapılacak İşlem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NACE kodu ve tehlike sınıfı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SGK işyeri sicilinde yer alan esas faaliyet NACE kodunun güncel tehlike sınıfı ile eşleştiğini doğrulayın.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İSG hizmet organizasyonu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İşveren/işveren vekili tarafından hizmet yürütülecekse mevzuattaki eğitim ve İSG-KATİP işlemlerini tamamlayın; aksi halde uygun profesyonel görevlendirmesi yapın.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Risk değerlendirmesi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Risk değerlendirme ekibini belirleyin; tehlikeleri, etkilenen kişileri, mevcut kontrolleri ve ilave tedbirleri dokümante edin.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Acil durum planı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Yangın, doğal afet, kimyasal yayılım, sabotaj ve işyerine özgü diğer acil durumları belirleyin; ekipleri ve tahliye yöntemlerini oluşturun.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Çalışan eğitimleri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İşe başlama eğitimi ve temel İSG eğitimlerini 02.04.2026 tarihli yönetmeliğe uygun şekilde planlayın, ölçme/değerlendirme ve kayıtları tutun.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Sağlık gözetimi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İşe giriş/periyodik muayenelerin işyeri hekimi tarafından yapılmasını ve kayıtların gizlilik esaslarına uygun tutulmasını sağlayın.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KKD ve iş ekipmanları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Risk değerlendirmesine göre KKD’leri ücretsiz sağlayın; gerekli ekipmanların bakım/periyodik kontrol takibini yapın.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Çalışan katılımı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Çalışan temsilcisi sürecini yürütün; çalışan görüşlerini alın, tehlike ve ramak kala bildirim sistemini işletin.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Tatbikat ve gözden geçirme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Acil durum tatbikatlarını planlayın; olay, değişiklik ve mevzuat değişikliklerinde dokümanları güncelleyin.</w:t>
            </w:r>
          </w:p>
        </w:tc>
      </w:tr>
      <w:tr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Kayıt ve arşiv</w:t>
            </w:r>
          </w:p>
        </w:tc>
        <w:tc>
          <w:tcPr>
            <w:tcW w:type="dxa" w:w="66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Eğitim, risk, acil durum, sağlık, KKD, kaza/ramak kala ve kontrol kayıtlarını düzenli arşivleyin.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İş Sağlığı ve Güvenliği Kanunu</w:t>
      </w:r>
    </w:p>
    <w:p>
      <w:pPr>
        <w:pStyle w:val="ListBullet"/>
      </w:pPr>
      <w:r>
        <w:rPr>
          <w:sz w:val="17"/>
        </w:rPr>
        <w:t>İş Sağlığı ve Güvenliği Risk Değerlendirmesi Yönetmeliği (RG 29.12.2012/28512)</w:t>
      </w:r>
    </w:p>
    <w:p>
      <w:pPr>
        <w:pStyle w:val="ListBullet"/>
      </w:pPr>
      <w:r>
        <w:rPr>
          <w:sz w:val="17"/>
        </w:rPr>
        <w:t>İşyerlerinde Acil Durumlar Hakkında Yönetmelik (RG 18.06.2013/28681; 01.10.2021 değişiklikleri dahil)</w:t>
      </w:r>
    </w:p>
    <w:p>
      <w:pPr>
        <w:pStyle w:val="ListBullet"/>
      </w:pPr>
      <w:r>
        <w:rPr>
          <w:sz w:val="17"/>
        </w:rPr>
        <w:t>Çalışanların İş Sağlığı ve Güvenliği Eğitimlerinin Usul ve Esasları Hakkında Yönetmelik (RG 02.04.2026/33212)</w:t>
      </w:r>
    </w:p>
    <w:p>
      <w:pPr>
        <w:pStyle w:val="ListBullet"/>
      </w:pPr>
      <w:r>
        <w:rPr>
          <w:sz w:val="17"/>
        </w:rPr>
        <w:t>İş Sağlığı ve Güvenliği Hizmetleri Yönetmeliği ve ilgili görevlendirme hükümleri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